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08A4D" w14:textId="77777777" w:rsidR="005C4083" w:rsidRDefault="001F23A5">
      <w:pPr>
        <w:pStyle w:val="Heading1"/>
      </w:pPr>
      <w:r>
        <w:t>NEW APPLICANT FEES</w:t>
      </w:r>
    </w:p>
    <w:tbl>
      <w:tblPr>
        <w:tblStyle w:val="a"/>
        <w:tblW w:w="10206" w:type="dxa"/>
        <w:tblInd w:w="0"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00" w:firstRow="0" w:lastRow="0" w:firstColumn="0" w:lastColumn="0" w:noHBand="0" w:noVBand="1"/>
      </w:tblPr>
      <w:tblGrid>
        <w:gridCol w:w="2609"/>
        <w:gridCol w:w="1701"/>
        <w:gridCol w:w="5896"/>
      </w:tblGrid>
      <w:tr w:rsidR="005C4083" w14:paraId="4465B1C5" w14:textId="77777777">
        <w:tc>
          <w:tcPr>
            <w:tcW w:w="2609" w:type="dxa"/>
            <w:shd w:val="clear" w:color="auto" w:fill="5F497A"/>
            <w:tcMar>
              <w:top w:w="57" w:type="dxa"/>
              <w:left w:w="57" w:type="dxa"/>
              <w:bottom w:w="57" w:type="dxa"/>
              <w:right w:w="57" w:type="dxa"/>
            </w:tcMar>
          </w:tcPr>
          <w:p w14:paraId="72468343" w14:textId="77777777" w:rsidR="005C4083" w:rsidRDefault="001F23A5">
            <w:pPr>
              <w:pStyle w:val="Heading2"/>
              <w:spacing w:before="0"/>
              <w:jc w:val="center"/>
              <w:rPr>
                <w:rFonts w:ascii="Times New Roman" w:eastAsia="Times New Roman" w:hAnsi="Times New Roman" w:cs="Times New Roman"/>
                <w:sz w:val="24"/>
                <w:szCs w:val="24"/>
              </w:rPr>
            </w:pPr>
            <w:r>
              <w:t>Item</w:t>
            </w:r>
          </w:p>
        </w:tc>
        <w:tc>
          <w:tcPr>
            <w:tcW w:w="1701" w:type="dxa"/>
            <w:shd w:val="clear" w:color="auto" w:fill="5F497A"/>
            <w:tcMar>
              <w:top w:w="57" w:type="dxa"/>
              <w:left w:w="57" w:type="dxa"/>
              <w:bottom w:w="57" w:type="dxa"/>
              <w:right w:w="57" w:type="dxa"/>
            </w:tcMar>
          </w:tcPr>
          <w:p w14:paraId="162692A2" w14:textId="78291A41" w:rsidR="005C4083" w:rsidRDefault="001F23A5">
            <w:pPr>
              <w:pStyle w:val="Heading2"/>
              <w:spacing w:before="0"/>
              <w:jc w:val="center"/>
              <w:rPr>
                <w:rFonts w:ascii="Times New Roman" w:eastAsia="Times New Roman" w:hAnsi="Times New Roman" w:cs="Times New Roman"/>
                <w:sz w:val="24"/>
                <w:szCs w:val="24"/>
              </w:rPr>
            </w:pPr>
            <w:r>
              <w:t>Fees</w:t>
            </w:r>
          </w:p>
        </w:tc>
        <w:tc>
          <w:tcPr>
            <w:tcW w:w="5896" w:type="dxa"/>
            <w:shd w:val="clear" w:color="auto" w:fill="5F497A"/>
            <w:tcMar>
              <w:top w:w="57" w:type="dxa"/>
              <w:left w:w="57" w:type="dxa"/>
              <w:bottom w:w="57" w:type="dxa"/>
              <w:right w:w="57" w:type="dxa"/>
            </w:tcMar>
          </w:tcPr>
          <w:p w14:paraId="60D41CE7" w14:textId="77777777" w:rsidR="005C4083" w:rsidRDefault="001F23A5">
            <w:pPr>
              <w:pStyle w:val="Heading2"/>
              <w:spacing w:before="0"/>
              <w:jc w:val="center"/>
              <w:rPr>
                <w:rFonts w:ascii="Times New Roman" w:eastAsia="Times New Roman" w:hAnsi="Times New Roman" w:cs="Times New Roman"/>
                <w:sz w:val="24"/>
                <w:szCs w:val="24"/>
              </w:rPr>
            </w:pPr>
            <w:r>
              <w:t>Explanatory Notes</w:t>
            </w:r>
          </w:p>
        </w:tc>
      </w:tr>
      <w:tr w:rsidR="005C4083" w14:paraId="3CEF6015" w14:textId="77777777">
        <w:tc>
          <w:tcPr>
            <w:tcW w:w="2609" w:type="dxa"/>
            <w:tcMar>
              <w:top w:w="57" w:type="dxa"/>
              <w:left w:w="57" w:type="dxa"/>
              <w:bottom w:w="0" w:type="dxa"/>
              <w:right w:w="57" w:type="dxa"/>
            </w:tcMar>
          </w:tcPr>
          <w:p w14:paraId="0C61A2F8" w14:textId="3DCC50F6" w:rsidR="005C4083" w:rsidRPr="00BF26CA" w:rsidRDefault="001F23A5">
            <w:pPr>
              <w:spacing w:after="0"/>
              <w:rPr>
                <w:color w:val="5F497A" w:themeColor="accent4" w:themeShade="BF"/>
              </w:rPr>
            </w:pPr>
            <w:r w:rsidRPr="00BF26CA">
              <w:rPr>
                <w:color w:val="5F497A" w:themeColor="accent4" w:themeShade="BF"/>
              </w:rPr>
              <w:t>Initial Organisational Audit (non</w:t>
            </w:r>
            <w:r w:rsidR="005B3CB2">
              <w:rPr>
                <w:color w:val="5F497A" w:themeColor="accent4" w:themeShade="BF"/>
              </w:rPr>
              <w:t>-refund</w:t>
            </w:r>
            <w:r w:rsidRPr="00BF26CA">
              <w:rPr>
                <w:color w:val="5F497A" w:themeColor="accent4" w:themeShade="BF"/>
              </w:rPr>
              <w:t>able) 202</w:t>
            </w:r>
            <w:r w:rsidR="00E857FB">
              <w:rPr>
                <w:color w:val="5F497A" w:themeColor="accent4" w:themeShade="BF"/>
              </w:rPr>
              <w:t>4</w:t>
            </w:r>
          </w:p>
        </w:tc>
        <w:tc>
          <w:tcPr>
            <w:tcW w:w="1701" w:type="dxa"/>
            <w:tcMar>
              <w:top w:w="57" w:type="dxa"/>
              <w:left w:w="57" w:type="dxa"/>
              <w:bottom w:w="0" w:type="dxa"/>
              <w:right w:w="57" w:type="dxa"/>
            </w:tcMar>
          </w:tcPr>
          <w:p w14:paraId="18B5B3C0" w14:textId="19106D1A" w:rsidR="005C4083" w:rsidRPr="00BF26CA" w:rsidRDefault="001F23A5">
            <w:pPr>
              <w:spacing w:after="0"/>
              <w:jc w:val="right"/>
              <w:rPr>
                <w:color w:val="5F497A" w:themeColor="accent4" w:themeShade="BF"/>
              </w:rPr>
            </w:pPr>
            <w:r w:rsidRPr="00BF26CA">
              <w:rPr>
                <w:color w:val="5F497A" w:themeColor="accent4" w:themeShade="BF"/>
              </w:rPr>
              <w:t>£3</w:t>
            </w:r>
            <w:r w:rsidR="0014627A">
              <w:rPr>
                <w:color w:val="5F497A" w:themeColor="accent4" w:themeShade="BF"/>
              </w:rPr>
              <w:t>5</w:t>
            </w:r>
            <w:r w:rsidRPr="00BF26CA">
              <w:rPr>
                <w:color w:val="5F497A" w:themeColor="accent4" w:themeShade="BF"/>
              </w:rPr>
              <w:t>0.00</w:t>
            </w:r>
          </w:p>
        </w:tc>
        <w:tc>
          <w:tcPr>
            <w:tcW w:w="5896" w:type="dxa"/>
            <w:tcMar>
              <w:top w:w="57" w:type="dxa"/>
              <w:left w:w="57" w:type="dxa"/>
              <w:bottom w:w="0" w:type="dxa"/>
              <w:right w:w="57" w:type="dxa"/>
            </w:tcMar>
          </w:tcPr>
          <w:p w14:paraId="0DBD944F" w14:textId="47C15202" w:rsidR="005C4083" w:rsidRDefault="001F23A5" w:rsidP="00BF26CA">
            <w:pPr>
              <w:pBdr>
                <w:top w:val="nil"/>
                <w:left w:val="nil"/>
                <w:bottom w:val="nil"/>
                <w:right w:val="nil"/>
                <w:between w:val="nil"/>
              </w:pBdr>
              <w:spacing w:after="80"/>
              <w:jc w:val="both"/>
              <w:rPr>
                <w:color w:val="000000"/>
                <w:sz w:val="20"/>
                <w:szCs w:val="20"/>
              </w:rPr>
            </w:pPr>
            <w:r>
              <w:rPr>
                <w:color w:val="000000"/>
                <w:sz w:val="20"/>
                <w:szCs w:val="20"/>
              </w:rPr>
              <w:t xml:space="preserve">Once this fee </w:t>
            </w:r>
            <w:r w:rsidR="005B3CB2">
              <w:rPr>
                <w:color w:val="000000"/>
                <w:sz w:val="20"/>
                <w:szCs w:val="20"/>
              </w:rPr>
              <w:t>has been</w:t>
            </w:r>
            <w:r>
              <w:rPr>
                <w:color w:val="000000"/>
                <w:sz w:val="20"/>
                <w:szCs w:val="20"/>
              </w:rPr>
              <w:t xml:space="preserve"> paid, applicants will be sent the Initial Audit form and the Initial Course Accreditation form. This fee is non-</w:t>
            </w:r>
            <w:r w:rsidR="00BF26CA">
              <w:rPr>
                <w:color w:val="000000"/>
                <w:sz w:val="20"/>
                <w:szCs w:val="20"/>
              </w:rPr>
              <w:t>refundable</w:t>
            </w:r>
            <w:r w:rsidR="005B3CB2">
              <w:rPr>
                <w:color w:val="000000"/>
                <w:sz w:val="20"/>
                <w:szCs w:val="20"/>
              </w:rPr>
              <w:t>,</w:t>
            </w:r>
            <w:r>
              <w:rPr>
                <w:color w:val="000000"/>
                <w:sz w:val="20"/>
                <w:szCs w:val="20"/>
              </w:rPr>
              <w:t xml:space="preserve"> which means that after receiving the forms, even if an applicant decides not to go ahead with the accreditation process, this </w:t>
            </w:r>
            <w:r w:rsidR="005B3CB2">
              <w:rPr>
                <w:color w:val="000000"/>
                <w:sz w:val="20"/>
                <w:szCs w:val="20"/>
              </w:rPr>
              <w:t>sum</w:t>
            </w:r>
            <w:r>
              <w:rPr>
                <w:color w:val="000000"/>
                <w:sz w:val="20"/>
                <w:szCs w:val="20"/>
              </w:rPr>
              <w:t xml:space="preserve"> will not be </w:t>
            </w:r>
            <w:r w:rsidR="005B3CB2">
              <w:rPr>
                <w:color w:val="000000"/>
                <w:sz w:val="20"/>
                <w:szCs w:val="20"/>
              </w:rPr>
              <w:t>returned</w:t>
            </w:r>
            <w:r>
              <w:rPr>
                <w:color w:val="000000"/>
                <w:sz w:val="20"/>
                <w:szCs w:val="20"/>
              </w:rPr>
              <w:t>.</w:t>
            </w:r>
          </w:p>
        </w:tc>
      </w:tr>
      <w:tr w:rsidR="005C4083" w14:paraId="6C704DA0" w14:textId="77777777">
        <w:tc>
          <w:tcPr>
            <w:tcW w:w="2609" w:type="dxa"/>
            <w:tcMar>
              <w:top w:w="57" w:type="dxa"/>
              <w:left w:w="57" w:type="dxa"/>
              <w:bottom w:w="0" w:type="dxa"/>
              <w:right w:w="57" w:type="dxa"/>
            </w:tcMar>
          </w:tcPr>
          <w:p w14:paraId="4645E71C" w14:textId="77777777" w:rsidR="005C4083" w:rsidRPr="00BF26CA" w:rsidRDefault="001F23A5">
            <w:pPr>
              <w:spacing w:after="0"/>
              <w:rPr>
                <w:color w:val="5F497A" w:themeColor="accent4" w:themeShade="BF"/>
              </w:rPr>
            </w:pPr>
            <w:bookmarkStart w:id="0" w:name="_heading=h.gjdgxs" w:colFirst="0" w:colLast="0"/>
            <w:bookmarkEnd w:id="0"/>
            <w:r w:rsidRPr="00BF26CA">
              <w:rPr>
                <w:color w:val="5F497A" w:themeColor="accent4" w:themeShade="BF"/>
              </w:rPr>
              <w:t>Required Changes following Initial Audit submission</w:t>
            </w:r>
          </w:p>
        </w:tc>
        <w:tc>
          <w:tcPr>
            <w:tcW w:w="1701" w:type="dxa"/>
            <w:tcMar>
              <w:top w:w="57" w:type="dxa"/>
              <w:left w:w="57" w:type="dxa"/>
              <w:bottom w:w="0" w:type="dxa"/>
              <w:right w:w="57" w:type="dxa"/>
            </w:tcMar>
          </w:tcPr>
          <w:p w14:paraId="02C00314" w14:textId="5D67756F" w:rsidR="005C4083" w:rsidRPr="00BF26CA" w:rsidRDefault="001F23A5">
            <w:pPr>
              <w:spacing w:after="0"/>
              <w:jc w:val="right"/>
              <w:rPr>
                <w:color w:val="5F497A" w:themeColor="accent4" w:themeShade="BF"/>
              </w:rPr>
            </w:pPr>
            <w:r w:rsidRPr="00BF26CA">
              <w:rPr>
                <w:color w:val="5F497A" w:themeColor="accent4" w:themeShade="BF"/>
              </w:rPr>
              <w:t>£</w:t>
            </w:r>
            <w:r w:rsidR="0014627A">
              <w:rPr>
                <w:color w:val="5F497A" w:themeColor="accent4" w:themeShade="BF"/>
              </w:rPr>
              <w:t>10</w:t>
            </w:r>
            <w:r w:rsidRPr="00BF26CA">
              <w:rPr>
                <w:color w:val="5F497A" w:themeColor="accent4" w:themeShade="BF"/>
              </w:rPr>
              <w:t>0.00</w:t>
            </w:r>
            <w:r w:rsidR="005B3CB2">
              <w:rPr>
                <w:color w:val="5F497A" w:themeColor="accent4" w:themeShade="BF"/>
              </w:rPr>
              <w:t>–</w:t>
            </w:r>
            <w:r w:rsidR="0014627A">
              <w:rPr>
                <w:color w:val="5F497A" w:themeColor="accent4" w:themeShade="BF"/>
              </w:rPr>
              <w:t>3</w:t>
            </w:r>
            <w:r w:rsidRPr="00BF26CA">
              <w:rPr>
                <w:color w:val="5F497A" w:themeColor="accent4" w:themeShade="BF"/>
              </w:rPr>
              <w:t>00.00</w:t>
            </w:r>
          </w:p>
        </w:tc>
        <w:tc>
          <w:tcPr>
            <w:tcW w:w="5896" w:type="dxa"/>
            <w:tcMar>
              <w:top w:w="57" w:type="dxa"/>
              <w:left w:w="57" w:type="dxa"/>
              <w:bottom w:w="0" w:type="dxa"/>
              <w:right w:w="57" w:type="dxa"/>
            </w:tcMar>
          </w:tcPr>
          <w:p w14:paraId="1B42CAF1" w14:textId="0323E06E" w:rsidR="005C4083" w:rsidRDefault="001F23A5" w:rsidP="00BF26CA">
            <w:pPr>
              <w:pBdr>
                <w:top w:val="nil"/>
                <w:left w:val="nil"/>
                <w:bottom w:val="nil"/>
                <w:right w:val="nil"/>
                <w:between w:val="nil"/>
              </w:pBdr>
              <w:spacing w:after="80"/>
              <w:jc w:val="both"/>
              <w:rPr>
                <w:color w:val="000000"/>
                <w:sz w:val="20"/>
                <w:szCs w:val="20"/>
              </w:rPr>
            </w:pPr>
            <w:r>
              <w:rPr>
                <w:color w:val="000000"/>
                <w:sz w:val="20"/>
                <w:szCs w:val="20"/>
              </w:rPr>
              <w:t xml:space="preserve">The ACTDEC Audit &amp; Accreditation </w:t>
            </w:r>
            <w:r w:rsidR="00BF26CA">
              <w:rPr>
                <w:color w:val="000000"/>
                <w:sz w:val="20"/>
                <w:szCs w:val="20"/>
              </w:rPr>
              <w:t>(A&amp;A</w:t>
            </w:r>
            <w:r w:rsidR="005B3CB2">
              <w:rPr>
                <w:color w:val="000000"/>
                <w:sz w:val="20"/>
                <w:szCs w:val="20"/>
              </w:rPr>
              <w:t>)</w:t>
            </w:r>
            <w:r w:rsidR="00BF26CA">
              <w:rPr>
                <w:color w:val="000000"/>
                <w:sz w:val="20"/>
                <w:szCs w:val="20"/>
              </w:rPr>
              <w:t xml:space="preserve"> Panel </w:t>
            </w:r>
            <w:r>
              <w:rPr>
                <w:color w:val="000000"/>
                <w:sz w:val="20"/>
                <w:szCs w:val="20"/>
              </w:rPr>
              <w:t xml:space="preserve">Report on the initial organisational audit submission </w:t>
            </w:r>
            <w:r w:rsidR="00BF26CA">
              <w:rPr>
                <w:color w:val="000000"/>
                <w:sz w:val="20"/>
                <w:szCs w:val="20"/>
              </w:rPr>
              <w:t>may</w:t>
            </w:r>
            <w:r>
              <w:rPr>
                <w:color w:val="000000"/>
                <w:sz w:val="20"/>
                <w:szCs w:val="20"/>
              </w:rPr>
              <w:t xml:space="preserve"> offer “Recommendations” and/or request “Required Changes”. Applicants will have up to </w:t>
            </w:r>
            <w:r w:rsidR="005B3CB2">
              <w:rPr>
                <w:color w:val="000000"/>
                <w:sz w:val="20"/>
                <w:szCs w:val="20"/>
              </w:rPr>
              <w:t>three</w:t>
            </w:r>
            <w:r>
              <w:rPr>
                <w:color w:val="000000"/>
                <w:sz w:val="20"/>
                <w:szCs w:val="20"/>
              </w:rPr>
              <w:t xml:space="preserve"> months to implement Required Changes and respond to Recommendations. Delayed and/or incomplete responses will incur a £100 fee. In second and subsequent reviews, delayed or incomplete responses will incur stepped fees with increments of £50.</w:t>
            </w:r>
          </w:p>
        </w:tc>
      </w:tr>
      <w:tr w:rsidR="005C4083" w14:paraId="7E649ECD" w14:textId="77777777">
        <w:tc>
          <w:tcPr>
            <w:tcW w:w="2609" w:type="dxa"/>
            <w:tcMar>
              <w:top w:w="57" w:type="dxa"/>
              <w:left w:w="57" w:type="dxa"/>
              <w:bottom w:w="0" w:type="dxa"/>
              <w:right w:w="57" w:type="dxa"/>
            </w:tcMar>
          </w:tcPr>
          <w:p w14:paraId="2B5EEE4F" w14:textId="77777777" w:rsidR="005C4083" w:rsidRPr="00BF26CA" w:rsidRDefault="001F23A5">
            <w:pPr>
              <w:spacing w:after="0"/>
              <w:rPr>
                <w:color w:val="5F497A" w:themeColor="accent4" w:themeShade="BF"/>
              </w:rPr>
            </w:pPr>
            <w:r w:rsidRPr="00BF26CA">
              <w:rPr>
                <w:color w:val="5F497A" w:themeColor="accent4" w:themeShade="BF"/>
              </w:rPr>
              <w:t>Course Accreditation Fee</w:t>
            </w:r>
          </w:p>
        </w:tc>
        <w:tc>
          <w:tcPr>
            <w:tcW w:w="1701" w:type="dxa"/>
            <w:tcMar>
              <w:top w:w="57" w:type="dxa"/>
              <w:left w:w="57" w:type="dxa"/>
              <w:bottom w:w="0" w:type="dxa"/>
              <w:right w:w="57" w:type="dxa"/>
            </w:tcMar>
          </w:tcPr>
          <w:p w14:paraId="73E917D9" w14:textId="77777777" w:rsidR="005C4083" w:rsidRPr="00BF26CA" w:rsidRDefault="001F23A5">
            <w:pPr>
              <w:spacing w:after="0"/>
              <w:jc w:val="right"/>
              <w:rPr>
                <w:color w:val="5F497A" w:themeColor="accent4" w:themeShade="BF"/>
              </w:rPr>
            </w:pPr>
            <w:r w:rsidRPr="00BF26CA">
              <w:rPr>
                <w:color w:val="5F497A" w:themeColor="accent4" w:themeShade="BF"/>
              </w:rPr>
              <w:t>See below</w:t>
            </w:r>
          </w:p>
        </w:tc>
        <w:tc>
          <w:tcPr>
            <w:tcW w:w="5896" w:type="dxa"/>
            <w:tcMar>
              <w:top w:w="57" w:type="dxa"/>
              <w:left w:w="57" w:type="dxa"/>
              <w:bottom w:w="0" w:type="dxa"/>
              <w:right w:w="57" w:type="dxa"/>
            </w:tcMar>
          </w:tcPr>
          <w:p w14:paraId="5044E727" w14:textId="64C73FB0" w:rsidR="005C4083" w:rsidRDefault="001F23A5" w:rsidP="003A231D">
            <w:pPr>
              <w:pBdr>
                <w:top w:val="nil"/>
                <w:left w:val="nil"/>
                <w:bottom w:val="nil"/>
                <w:right w:val="nil"/>
                <w:between w:val="nil"/>
              </w:pBdr>
              <w:spacing w:after="80"/>
              <w:jc w:val="both"/>
              <w:rPr>
                <w:color w:val="000000"/>
                <w:sz w:val="20"/>
                <w:szCs w:val="20"/>
              </w:rPr>
            </w:pPr>
            <w:r>
              <w:rPr>
                <w:color w:val="000000"/>
                <w:sz w:val="20"/>
                <w:szCs w:val="20"/>
              </w:rPr>
              <w:t xml:space="preserve">This is payable at the time the applicant submits the information and documentation requested in the Initial Audit Form and the Course Accreditation form.  The </w:t>
            </w:r>
            <w:r w:rsidR="00BF26CA">
              <w:rPr>
                <w:color w:val="000000"/>
                <w:sz w:val="20"/>
                <w:szCs w:val="20"/>
              </w:rPr>
              <w:t>A&amp;A</w:t>
            </w:r>
            <w:r>
              <w:rPr>
                <w:color w:val="000000"/>
                <w:sz w:val="20"/>
                <w:szCs w:val="20"/>
              </w:rPr>
              <w:t xml:space="preserve"> Panel will begin reviewing the completed course </w:t>
            </w:r>
            <w:r w:rsidR="003A231D">
              <w:rPr>
                <w:color w:val="000000"/>
                <w:sz w:val="20"/>
                <w:szCs w:val="20"/>
              </w:rPr>
              <w:t>and</w:t>
            </w:r>
            <w:r>
              <w:rPr>
                <w:color w:val="000000"/>
                <w:sz w:val="20"/>
                <w:szCs w:val="20"/>
              </w:rPr>
              <w:t xml:space="preserve"> organisation forms </w:t>
            </w:r>
            <w:r w:rsidR="00BF26CA">
              <w:rPr>
                <w:color w:val="000000"/>
                <w:sz w:val="20"/>
                <w:szCs w:val="20"/>
              </w:rPr>
              <w:t>once</w:t>
            </w:r>
            <w:r>
              <w:rPr>
                <w:color w:val="000000"/>
                <w:sz w:val="20"/>
                <w:szCs w:val="20"/>
              </w:rPr>
              <w:t xml:space="preserve"> this payment </w:t>
            </w:r>
            <w:r w:rsidR="005B3CB2">
              <w:rPr>
                <w:color w:val="000000"/>
                <w:sz w:val="20"/>
                <w:szCs w:val="20"/>
              </w:rPr>
              <w:t>has been</w:t>
            </w:r>
            <w:r>
              <w:rPr>
                <w:color w:val="000000"/>
                <w:sz w:val="20"/>
                <w:szCs w:val="20"/>
              </w:rPr>
              <w:t xml:space="preserve"> received. </w:t>
            </w:r>
          </w:p>
        </w:tc>
      </w:tr>
      <w:tr w:rsidR="005C4083" w14:paraId="18882FD7" w14:textId="77777777">
        <w:tc>
          <w:tcPr>
            <w:tcW w:w="2609" w:type="dxa"/>
            <w:tcMar>
              <w:top w:w="57" w:type="dxa"/>
              <w:left w:w="57" w:type="dxa"/>
              <w:bottom w:w="0" w:type="dxa"/>
              <w:right w:w="57" w:type="dxa"/>
            </w:tcMar>
          </w:tcPr>
          <w:p w14:paraId="752D244B" w14:textId="77777777" w:rsidR="005C4083" w:rsidRPr="00BF26CA" w:rsidRDefault="001F23A5">
            <w:pPr>
              <w:spacing w:after="0"/>
              <w:rPr>
                <w:color w:val="5F497A" w:themeColor="accent4" w:themeShade="BF"/>
              </w:rPr>
            </w:pPr>
            <w:r w:rsidRPr="00BF26CA">
              <w:rPr>
                <w:color w:val="5F497A" w:themeColor="accent4" w:themeShade="BF"/>
              </w:rPr>
              <w:t>Required Changes following Initial Course Accreditation submission</w:t>
            </w:r>
          </w:p>
        </w:tc>
        <w:tc>
          <w:tcPr>
            <w:tcW w:w="1701" w:type="dxa"/>
            <w:tcMar>
              <w:top w:w="57" w:type="dxa"/>
              <w:left w:w="57" w:type="dxa"/>
              <w:bottom w:w="0" w:type="dxa"/>
              <w:right w:w="57" w:type="dxa"/>
            </w:tcMar>
          </w:tcPr>
          <w:p w14:paraId="5FD63AF8" w14:textId="15512B4A" w:rsidR="005C4083" w:rsidRPr="00BF26CA" w:rsidRDefault="001F23A5">
            <w:pPr>
              <w:spacing w:after="0"/>
              <w:jc w:val="right"/>
              <w:rPr>
                <w:color w:val="5F497A" w:themeColor="accent4" w:themeShade="BF"/>
              </w:rPr>
            </w:pPr>
            <w:r w:rsidRPr="00BF26CA">
              <w:rPr>
                <w:color w:val="5F497A" w:themeColor="accent4" w:themeShade="BF"/>
              </w:rPr>
              <w:t>£</w:t>
            </w:r>
            <w:r w:rsidR="00E857FB">
              <w:rPr>
                <w:color w:val="5F497A" w:themeColor="accent4" w:themeShade="BF"/>
              </w:rPr>
              <w:t>10</w:t>
            </w:r>
            <w:r w:rsidRPr="00BF26CA">
              <w:rPr>
                <w:color w:val="5F497A" w:themeColor="accent4" w:themeShade="BF"/>
              </w:rPr>
              <w:t>0.00</w:t>
            </w:r>
            <w:r w:rsidR="005B3CB2">
              <w:rPr>
                <w:color w:val="5F497A" w:themeColor="accent4" w:themeShade="BF"/>
              </w:rPr>
              <w:t>–</w:t>
            </w:r>
            <w:r w:rsidR="00E857FB">
              <w:rPr>
                <w:color w:val="5F497A" w:themeColor="accent4" w:themeShade="BF"/>
              </w:rPr>
              <w:t>3</w:t>
            </w:r>
            <w:r w:rsidRPr="00BF26CA">
              <w:rPr>
                <w:color w:val="5F497A" w:themeColor="accent4" w:themeShade="BF"/>
              </w:rPr>
              <w:t>00.00</w:t>
            </w:r>
          </w:p>
        </w:tc>
        <w:tc>
          <w:tcPr>
            <w:tcW w:w="5896" w:type="dxa"/>
            <w:tcMar>
              <w:top w:w="57" w:type="dxa"/>
              <w:left w:w="57" w:type="dxa"/>
              <w:bottom w:w="0" w:type="dxa"/>
              <w:right w:w="57" w:type="dxa"/>
            </w:tcMar>
          </w:tcPr>
          <w:p w14:paraId="38A12153" w14:textId="77777777" w:rsidR="005C4083" w:rsidRDefault="001F23A5">
            <w:pPr>
              <w:pBdr>
                <w:top w:val="nil"/>
                <w:left w:val="nil"/>
                <w:bottom w:val="nil"/>
                <w:right w:val="nil"/>
                <w:between w:val="nil"/>
              </w:pBdr>
              <w:spacing w:after="80"/>
              <w:jc w:val="both"/>
              <w:rPr>
                <w:color w:val="000000"/>
                <w:sz w:val="20"/>
                <w:szCs w:val="20"/>
              </w:rPr>
            </w:pPr>
            <w:r>
              <w:rPr>
                <w:color w:val="000000"/>
                <w:sz w:val="20"/>
                <w:szCs w:val="20"/>
              </w:rPr>
              <w:t xml:space="preserve">This works in the same way as Required Changes following Initial Audit submission. </w:t>
            </w:r>
          </w:p>
        </w:tc>
      </w:tr>
      <w:tr w:rsidR="005C4083" w14:paraId="2AC2810C" w14:textId="77777777">
        <w:tc>
          <w:tcPr>
            <w:tcW w:w="2609" w:type="dxa"/>
            <w:tcMar>
              <w:top w:w="57" w:type="dxa"/>
              <w:left w:w="57" w:type="dxa"/>
              <w:bottom w:w="0" w:type="dxa"/>
              <w:right w:w="57" w:type="dxa"/>
            </w:tcMar>
          </w:tcPr>
          <w:p w14:paraId="3BA017E8" w14:textId="77777777" w:rsidR="005C4083" w:rsidRPr="00BF26CA" w:rsidRDefault="001F23A5">
            <w:pPr>
              <w:spacing w:after="0"/>
              <w:rPr>
                <w:color w:val="5F497A" w:themeColor="accent4" w:themeShade="BF"/>
              </w:rPr>
            </w:pPr>
            <w:r w:rsidRPr="00BF26CA">
              <w:rPr>
                <w:color w:val="5F497A" w:themeColor="accent4" w:themeShade="BF"/>
              </w:rPr>
              <w:t>Annual Membership Fee</w:t>
            </w:r>
          </w:p>
        </w:tc>
        <w:tc>
          <w:tcPr>
            <w:tcW w:w="1701" w:type="dxa"/>
            <w:tcMar>
              <w:top w:w="57" w:type="dxa"/>
              <w:left w:w="57" w:type="dxa"/>
              <w:bottom w:w="0" w:type="dxa"/>
              <w:right w:w="57" w:type="dxa"/>
            </w:tcMar>
          </w:tcPr>
          <w:p w14:paraId="07C20018" w14:textId="77777777" w:rsidR="005C4083" w:rsidRPr="00BF26CA" w:rsidRDefault="001F23A5">
            <w:pPr>
              <w:spacing w:after="0"/>
              <w:jc w:val="right"/>
              <w:rPr>
                <w:color w:val="5F497A" w:themeColor="accent4" w:themeShade="BF"/>
              </w:rPr>
            </w:pPr>
            <w:r w:rsidRPr="00BF26CA">
              <w:rPr>
                <w:color w:val="5F497A" w:themeColor="accent4" w:themeShade="BF"/>
              </w:rPr>
              <w:t>N/A</w:t>
            </w:r>
          </w:p>
        </w:tc>
        <w:tc>
          <w:tcPr>
            <w:tcW w:w="5896" w:type="dxa"/>
            <w:tcMar>
              <w:top w:w="57" w:type="dxa"/>
              <w:left w:w="57" w:type="dxa"/>
              <w:bottom w:w="0" w:type="dxa"/>
              <w:right w:w="57" w:type="dxa"/>
            </w:tcMar>
          </w:tcPr>
          <w:p w14:paraId="388A3FE8" w14:textId="0C5A1917" w:rsidR="005C4083" w:rsidRDefault="001F23A5" w:rsidP="00BF26CA">
            <w:pPr>
              <w:pBdr>
                <w:top w:val="nil"/>
                <w:left w:val="nil"/>
                <w:bottom w:val="nil"/>
                <w:right w:val="nil"/>
                <w:between w:val="nil"/>
              </w:pBdr>
              <w:spacing w:after="80"/>
              <w:jc w:val="both"/>
              <w:rPr>
                <w:color w:val="000000"/>
                <w:sz w:val="20"/>
                <w:szCs w:val="20"/>
              </w:rPr>
            </w:pPr>
            <w:r>
              <w:rPr>
                <w:color w:val="000000"/>
                <w:sz w:val="20"/>
                <w:szCs w:val="20"/>
              </w:rPr>
              <w:t xml:space="preserve">Applicants are not required to pay an annual membership fee until they become </w:t>
            </w:r>
            <w:r w:rsidR="00BF26CA">
              <w:rPr>
                <w:color w:val="000000"/>
                <w:sz w:val="20"/>
                <w:szCs w:val="20"/>
              </w:rPr>
              <w:t>accredited</w:t>
            </w:r>
            <w:r>
              <w:rPr>
                <w:color w:val="000000"/>
                <w:sz w:val="20"/>
                <w:szCs w:val="20"/>
              </w:rPr>
              <w:t xml:space="preserve"> members of ACTDEC. This fee will become due one year from the date of official recognition of the applicant’s successful accreditation (</w:t>
            </w:r>
            <w:r>
              <w:rPr>
                <w:color w:val="5F497A"/>
                <w:sz w:val="20"/>
                <w:szCs w:val="20"/>
              </w:rPr>
              <w:t>see ACTDEC Member Fees</w:t>
            </w:r>
            <w:r w:rsidR="00BC3116">
              <w:rPr>
                <w:color w:val="5F497A"/>
                <w:sz w:val="20"/>
                <w:szCs w:val="20"/>
              </w:rPr>
              <w:t xml:space="preserve"> on webpage</w:t>
            </w:r>
            <w:r>
              <w:rPr>
                <w:color w:val="000000"/>
                <w:sz w:val="20"/>
                <w:szCs w:val="20"/>
              </w:rPr>
              <w:t>).</w:t>
            </w:r>
          </w:p>
        </w:tc>
      </w:tr>
    </w:tbl>
    <w:p w14:paraId="02DD7411" w14:textId="77777777" w:rsidR="005C4083" w:rsidRDefault="001F23A5">
      <w:pPr>
        <w:pStyle w:val="Heading1"/>
        <w:spacing w:before="240"/>
      </w:pPr>
      <w:r>
        <w:t xml:space="preserve">New Applicant – Initial Course Accreditation </w:t>
      </w:r>
    </w:p>
    <w:tbl>
      <w:tblPr>
        <w:tblStyle w:val="a0"/>
        <w:tblW w:w="4500" w:type="dxa"/>
        <w:jc w:val="center"/>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3360"/>
        <w:gridCol w:w="1140"/>
      </w:tblGrid>
      <w:tr w:rsidR="005C4083" w14:paraId="5FD271A1" w14:textId="77777777">
        <w:trPr>
          <w:jc w:val="center"/>
        </w:trPr>
        <w:tc>
          <w:tcPr>
            <w:tcW w:w="3360" w:type="dxa"/>
            <w:shd w:val="clear" w:color="auto" w:fill="5F497A"/>
            <w:tcMar>
              <w:top w:w="85" w:type="dxa"/>
              <w:bottom w:w="85" w:type="dxa"/>
            </w:tcMar>
            <w:vAlign w:val="center"/>
          </w:tcPr>
          <w:p w14:paraId="04BA6754" w14:textId="77777777" w:rsidR="005C4083" w:rsidRDefault="001F23A5">
            <w:pPr>
              <w:pStyle w:val="Heading2"/>
              <w:spacing w:before="0" w:line="240" w:lineRule="auto"/>
              <w:jc w:val="center"/>
            </w:pPr>
            <w:r>
              <w:t>Course Accreditation Levels</w:t>
            </w:r>
          </w:p>
        </w:tc>
        <w:tc>
          <w:tcPr>
            <w:tcW w:w="1140" w:type="dxa"/>
            <w:shd w:val="clear" w:color="auto" w:fill="5F497A"/>
            <w:tcMar>
              <w:top w:w="85" w:type="dxa"/>
              <w:bottom w:w="85" w:type="dxa"/>
            </w:tcMar>
            <w:vAlign w:val="center"/>
          </w:tcPr>
          <w:p w14:paraId="7E1AA900" w14:textId="3921BF85" w:rsidR="005C4083" w:rsidRDefault="001F23A5">
            <w:pPr>
              <w:pStyle w:val="Heading2"/>
              <w:spacing w:before="0" w:line="240" w:lineRule="auto"/>
              <w:jc w:val="center"/>
            </w:pPr>
            <w:r>
              <w:t>Fees</w:t>
            </w:r>
            <w:r>
              <w:rPr>
                <w:vertAlign w:val="superscript"/>
              </w:rPr>
              <w:footnoteReference w:id="1"/>
            </w:r>
          </w:p>
        </w:tc>
      </w:tr>
      <w:tr w:rsidR="005C4083" w14:paraId="06344F6F" w14:textId="77777777">
        <w:trPr>
          <w:jc w:val="center"/>
        </w:trPr>
        <w:tc>
          <w:tcPr>
            <w:tcW w:w="3360" w:type="dxa"/>
            <w:shd w:val="clear" w:color="auto" w:fill="auto"/>
            <w:tcMar>
              <w:top w:w="57" w:type="dxa"/>
            </w:tcMar>
            <w:vAlign w:val="center"/>
          </w:tcPr>
          <w:p w14:paraId="275E1C29" w14:textId="1FEA2995" w:rsidR="005C4083" w:rsidRDefault="001F23A5">
            <w:pPr>
              <w:pBdr>
                <w:top w:val="nil"/>
                <w:left w:val="nil"/>
                <w:bottom w:val="nil"/>
                <w:right w:val="nil"/>
                <w:between w:val="nil"/>
              </w:pBdr>
              <w:spacing w:after="80"/>
              <w:jc w:val="right"/>
              <w:rPr>
                <w:b/>
                <w:color w:val="5F497A"/>
                <w:sz w:val="20"/>
                <w:szCs w:val="20"/>
              </w:rPr>
            </w:pPr>
            <w:r>
              <w:rPr>
                <w:b/>
                <w:color w:val="5F497A"/>
                <w:sz w:val="20"/>
                <w:szCs w:val="20"/>
              </w:rPr>
              <w:t>Level 2 (70</w:t>
            </w:r>
            <w:r w:rsidR="005B3CB2">
              <w:rPr>
                <w:b/>
                <w:color w:val="5F497A"/>
                <w:sz w:val="20"/>
                <w:szCs w:val="20"/>
              </w:rPr>
              <w:t>–</w:t>
            </w:r>
            <w:r>
              <w:rPr>
                <w:b/>
                <w:color w:val="5F497A"/>
                <w:sz w:val="20"/>
                <w:szCs w:val="20"/>
              </w:rPr>
              <w:t xml:space="preserve">100 </w:t>
            </w:r>
            <w:r w:rsidR="005B3CB2">
              <w:rPr>
                <w:b/>
                <w:color w:val="5F497A"/>
                <w:sz w:val="20"/>
                <w:szCs w:val="20"/>
              </w:rPr>
              <w:t>hours</w:t>
            </w:r>
            <w:r>
              <w:rPr>
                <w:b/>
                <w:color w:val="5F497A"/>
                <w:sz w:val="20"/>
                <w:szCs w:val="20"/>
              </w:rPr>
              <w:t>)</w:t>
            </w:r>
          </w:p>
        </w:tc>
        <w:tc>
          <w:tcPr>
            <w:tcW w:w="1140" w:type="dxa"/>
            <w:shd w:val="clear" w:color="auto" w:fill="auto"/>
            <w:tcMar>
              <w:top w:w="57" w:type="dxa"/>
            </w:tcMar>
            <w:vAlign w:val="center"/>
          </w:tcPr>
          <w:p w14:paraId="606B0F3C" w14:textId="70998D11" w:rsidR="005C4083" w:rsidRDefault="001F23A5">
            <w:pPr>
              <w:pBdr>
                <w:top w:val="nil"/>
                <w:left w:val="nil"/>
                <w:bottom w:val="nil"/>
                <w:right w:val="nil"/>
                <w:between w:val="nil"/>
              </w:pBdr>
              <w:spacing w:after="80"/>
              <w:jc w:val="right"/>
              <w:rPr>
                <w:color w:val="000000"/>
                <w:sz w:val="20"/>
                <w:szCs w:val="20"/>
              </w:rPr>
            </w:pPr>
            <w:r>
              <w:rPr>
                <w:color w:val="000000"/>
                <w:sz w:val="20"/>
                <w:szCs w:val="20"/>
              </w:rPr>
              <w:t>£4</w:t>
            </w:r>
            <w:r w:rsidR="0014627A">
              <w:rPr>
                <w:color w:val="000000"/>
                <w:sz w:val="20"/>
                <w:szCs w:val="20"/>
              </w:rPr>
              <w:t>6</w:t>
            </w:r>
            <w:r>
              <w:rPr>
                <w:color w:val="000000"/>
                <w:sz w:val="20"/>
                <w:szCs w:val="20"/>
              </w:rPr>
              <w:t xml:space="preserve">0.00 </w:t>
            </w:r>
          </w:p>
        </w:tc>
      </w:tr>
      <w:tr w:rsidR="005C4083" w14:paraId="4AEF15C3" w14:textId="77777777">
        <w:trPr>
          <w:jc w:val="center"/>
        </w:trPr>
        <w:tc>
          <w:tcPr>
            <w:tcW w:w="3360" w:type="dxa"/>
            <w:shd w:val="clear" w:color="auto" w:fill="auto"/>
            <w:tcMar>
              <w:top w:w="57" w:type="dxa"/>
            </w:tcMar>
            <w:vAlign w:val="center"/>
          </w:tcPr>
          <w:p w14:paraId="1FD8189D" w14:textId="65AD61FC" w:rsidR="005C4083" w:rsidRDefault="001F23A5">
            <w:pPr>
              <w:spacing w:after="80"/>
              <w:jc w:val="right"/>
              <w:rPr>
                <w:b/>
                <w:color w:val="5F497A"/>
                <w:sz w:val="20"/>
                <w:szCs w:val="20"/>
              </w:rPr>
            </w:pPr>
            <w:r>
              <w:rPr>
                <w:b/>
                <w:color w:val="5F497A"/>
                <w:sz w:val="20"/>
                <w:szCs w:val="20"/>
              </w:rPr>
              <w:t xml:space="preserve">Level 3 (120 </w:t>
            </w:r>
            <w:r w:rsidR="005B3CB2">
              <w:rPr>
                <w:b/>
                <w:color w:val="5F497A"/>
                <w:sz w:val="20"/>
                <w:szCs w:val="20"/>
              </w:rPr>
              <w:t>hours</w:t>
            </w:r>
            <w:r>
              <w:rPr>
                <w:b/>
                <w:color w:val="5F497A"/>
                <w:sz w:val="20"/>
                <w:szCs w:val="20"/>
              </w:rPr>
              <w:t xml:space="preserve">) </w:t>
            </w:r>
          </w:p>
        </w:tc>
        <w:tc>
          <w:tcPr>
            <w:tcW w:w="1140" w:type="dxa"/>
            <w:shd w:val="clear" w:color="auto" w:fill="auto"/>
            <w:tcMar>
              <w:top w:w="57" w:type="dxa"/>
            </w:tcMar>
            <w:vAlign w:val="center"/>
          </w:tcPr>
          <w:p w14:paraId="4034F6DB" w14:textId="3D2D6432" w:rsidR="005C4083" w:rsidRDefault="001F23A5">
            <w:pPr>
              <w:pBdr>
                <w:top w:val="nil"/>
                <w:left w:val="nil"/>
                <w:bottom w:val="nil"/>
                <w:right w:val="nil"/>
                <w:between w:val="nil"/>
              </w:pBdr>
              <w:spacing w:after="80"/>
              <w:jc w:val="right"/>
              <w:rPr>
                <w:color w:val="000000"/>
                <w:sz w:val="20"/>
                <w:szCs w:val="20"/>
              </w:rPr>
            </w:pPr>
            <w:r>
              <w:rPr>
                <w:sz w:val="20"/>
                <w:szCs w:val="20"/>
              </w:rPr>
              <w:t>£</w:t>
            </w:r>
            <w:r w:rsidR="0014627A">
              <w:rPr>
                <w:sz w:val="20"/>
                <w:szCs w:val="20"/>
              </w:rPr>
              <w:t>525</w:t>
            </w:r>
            <w:r>
              <w:rPr>
                <w:sz w:val="20"/>
                <w:szCs w:val="20"/>
              </w:rPr>
              <w:t>.00</w:t>
            </w:r>
          </w:p>
        </w:tc>
      </w:tr>
      <w:tr w:rsidR="005C4083" w14:paraId="3371CC0D" w14:textId="77777777">
        <w:trPr>
          <w:jc w:val="center"/>
        </w:trPr>
        <w:tc>
          <w:tcPr>
            <w:tcW w:w="3360" w:type="dxa"/>
            <w:shd w:val="clear" w:color="auto" w:fill="auto"/>
            <w:tcMar>
              <w:top w:w="57" w:type="dxa"/>
            </w:tcMar>
            <w:vAlign w:val="center"/>
          </w:tcPr>
          <w:p w14:paraId="5122AA63" w14:textId="76107735" w:rsidR="005C4083" w:rsidRDefault="001F23A5">
            <w:pPr>
              <w:pBdr>
                <w:top w:val="nil"/>
                <w:left w:val="nil"/>
                <w:bottom w:val="nil"/>
                <w:right w:val="nil"/>
                <w:between w:val="nil"/>
              </w:pBdr>
              <w:spacing w:after="80"/>
              <w:jc w:val="right"/>
              <w:rPr>
                <w:b/>
                <w:color w:val="5F497A"/>
                <w:sz w:val="20"/>
                <w:szCs w:val="20"/>
              </w:rPr>
            </w:pPr>
            <w:r>
              <w:rPr>
                <w:b/>
                <w:color w:val="5F497A"/>
                <w:sz w:val="20"/>
                <w:szCs w:val="20"/>
              </w:rPr>
              <w:t xml:space="preserve"> Level 4 (150 </w:t>
            </w:r>
            <w:r w:rsidR="005B3CB2">
              <w:rPr>
                <w:b/>
                <w:color w:val="5F497A"/>
                <w:sz w:val="20"/>
                <w:szCs w:val="20"/>
              </w:rPr>
              <w:t>hours</w:t>
            </w:r>
            <w:r>
              <w:rPr>
                <w:b/>
                <w:color w:val="5F497A"/>
                <w:sz w:val="20"/>
                <w:szCs w:val="20"/>
              </w:rPr>
              <w:t>)</w:t>
            </w:r>
          </w:p>
        </w:tc>
        <w:tc>
          <w:tcPr>
            <w:tcW w:w="1140" w:type="dxa"/>
            <w:shd w:val="clear" w:color="auto" w:fill="auto"/>
            <w:tcMar>
              <w:top w:w="57" w:type="dxa"/>
            </w:tcMar>
            <w:vAlign w:val="center"/>
          </w:tcPr>
          <w:p w14:paraId="39EF7BEB" w14:textId="7FE056B7" w:rsidR="005C4083" w:rsidRDefault="001F23A5">
            <w:pPr>
              <w:pBdr>
                <w:top w:val="nil"/>
                <w:left w:val="nil"/>
                <w:bottom w:val="nil"/>
                <w:right w:val="nil"/>
                <w:between w:val="nil"/>
              </w:pBdr>
              <w:spacing w:after="80"/>
              <w:jc w:val="right"/>
              <w:rPr>
                <w:color w:val="000000"/>
                <w:sz w:val="20"/>
                <w:szCs w:val="20"/>
              </w:rPr>
            </w:pPr>
            <w:r>
              <w:rPr>
                <w:color w:val="000000"/>
                <w:sz w:val="20"/>
                <w:szCs w:val="20"/>
              </w:rPr>
              <w:t>£5</w:t>
            </w:r>
            <w:r w:rsidR="0014627A">
              <w:rPr>
                <w:color w:val="000000"/>
                <w:sz w:val="20"/>
                <w:szCs w:val="20"/>
              </w:rPr>
              <w:t>75</w:t>
            </w:r>
            <w:r>
              <w:rPr>
                <w:color w:val="000000"/>
                <w:sz w:val="20"/>
                <w:szCs w:val="20"/>
              </w:rPr>
              <w:t xml:space="preserve">.00 </w:t>
            </w:r>
          </w:p>
        </w:tc>
      </w:tr>
      <w:tr w:rsidR="005C4083" w14:paraId="332BACB1" w14:textId="77777777">
        <w:trPr>
          <w:jc w:val="center"/>
        </w:trPr>
        <w:tc>
          <w:tcPr>
            <w:tcW w:w="3360" w:type="dxa"/>
            <w:shd w:val="clear" w:color="auto" w:fill="auto"/>
            <w:tcMar>
              <w:top w:w="57" w:type="dxa"/>
            </w:tcMar>
            <w:vAlign w:val="center"/>
          </w:tcPr>
          <w:p w14:paraId="2FADD4DB" w14:textId="3DB29758" w:rsidR="005C4083" w:rsidRDefault="001F23A5">
            <w:pPr>
              <w:pBdr>
                <w:top w:val="nil"/>
                <w:left w:val="nil"/>
                <w:bottom w:val="nil"/>
                <w:right w:val="nil"/>
                <w:between w:val="nil"/>
              </w:pBdr>
              <w:spacing w:after="80"/>
              <w:jc w:val="right"/>
              <w:rPr>
                <w:b/>
                <w:color w:val="5F497A"/>
                <w:sz w:val="20"/>
                <w:szCs w:val="20"/>
              </w:rPr>
            </w:pPr>
            <w:r>
              <w:rPr>
                <w:b/>
                <w:color w:val="5F497A"/>
                <w:sz w:val="20"/>
                <w:szCs w:val="20"/>
              </w:rPr>
              <w:t>Level 5 (240</w:t>
            </w:r>
            <w:r w:rsidR="005B3CB2">
              <w:rPr>
                <w:b/>
                <w:color w:val="5F497A"/>
                <w:sz w:val="20"/>
                <w:szCs w:val="20"/>
              </w:rPr>
              <w:t>–</w:t>
            </w:r>
            <w:r>
              <w:rPr>
                <w:b/>
                <w:color w:val="5F497A"/>
                <w:sz w:val="20"/>
                <w:szCs w:val="20"/>
              </w:rPr>
              <w:t xml:space="preserve">250 </w:t>
            </w:r>
            <w:r w:rsidR="005B3CB2">
              <w:rPr>
                <w:b/>
                <w:color w:val="5F497A"/>
                <w:sz w:val="20"/>
                <w:szCs w:val="20"/>
              </w:rPr>
              <w:t>hours</w:t>
            </w:r>
            <w:r>
              <w:rPr>
                <w:b/>
                <w:color w:val="5F497A"/>
                <w:sz w:val="20"/>
                <w:szCs w:val="20"/>
              </w:rPr>
              <w:t>)</w:t>
            </w:r>
          </w:p>
        </w:tc>
        <w:tc>
          <w:tcPr>
            <w:tcW w:w="1140" w:type="dxa"/>
            <w:shd w:val="clear" w:color="auto" w:fill="auto"/>
            <w:tcMar>
              <w:top w:w="57" w:type="dxa"/>
            </w:tcMar>
            <w:vAlign w:val="center"/>
          </w:tcPr>
          <w:p w14:paraId="3ACBAFFF" w14:textId="41E6F6E4" w:rsidR="005C4083" w:rsidRDefault="001F23A5">
            <w:pPr>
              <w:pBdr>
                <w:top w:val="nil"/>
                <w:left w:val="nil"/>
                <w:bottom w:val="nil"/>
                <w:right w:val="nil"/>
                <w:between w:val="nil"/>
              </w:pBdr>
              <w:spacing w:after="80"/>
              <w:jc w:val="right"/>
              <w:rPr>
                <w:color w:val="000000"/>
                <w:sz w:val="20"/>
                <w:szCs w:val="20"/>
              </w:rPr>
            </w:pPr>
            <w:r>
              <w:rPr>
                <w:color w:val="000000"/>
                <w:sz w:val="20"/>
                <w:szCs w:val="20"/>
              </w:rPr>
              <w:t>£</w:t>
            </w:r>
            <w:r w:rsidR="0014627A">
              <w:rPr>
                <w:color w:val="000000"/>
                <w:sz w:val="20"/>
                <w:szCs w:val="20"/>
              </w:rPr>
              <w:t>70</w:t>
            </w:r>
            <w:r>
              <w:rPr>
                <w:color w:val="000000"/>
                <w:sz w:val="20"/>
                <w:szCs w:val="20"/>
              </w:rPr>
              <w:t xml:space="preserve">0.00 </w:t>
            </w:r>
          </w:p>
        </w:tc>
      </w:tr>
      <w:tr w:rsidR="005C4083" w14:paraId="78F745EC" w14:textId="77777777">
        <w:trPr>
          <w:jc w:val="center"/>
        </w:trPr>
        <w:tc>
          <w:tcPr>
            <w:tcW w:w="3360" w:type="dxa"/>
            <w:shd w:val="clear" w:color="auto" w:fill="auto"/>
            <w:tcMar>
              <w:top w:w="57" w:type="dxa"/>
            </w:tcMar>
            <w:vAlign w:val="center"/>
          </w:tcPr>
          <w:p w14:paraId="2D8CE116" w14:textId="139B9BC2" w:rsidR="005C4083" w:rsidRDefault="001F23A5">
            <w:pPr>
              <w:pBdr>
                <w:top w:val="nil"/>
                <w:left w:val="nil"/>
                <w:bottom w:val="nil"/>
                <w:right w:val="nil"/>
                <w:between w:val="nil"/>
              </w:pBdr>
              <w:spacing w:after="80"/>
              <w:jc w:val="right"/>
              <w:rPr>
                <w:b/>
                <w:color w:val="5F497A"/>
                <w:sz w:val="20"/>
                <w:szCs w:val="20"/>
              </w:rPr>
            </w:pPr>
            <w:r>
              <w:rPr>
                <w:b/>
                <w:color w:val="5F497A"/>
                <w:sz w:val="20"/>
                <w:szCs w:val="20"/>
              </w:rPr>
              <w:t xml:space="preserve">Level 6 (450 </w:t>
            </w:r>
            <w:r w:rsidR="005B3CB2">
              <w:rPr>
                <w:b/>
                <w:color w:val="5F497A"/>
                <w:sz w:val="20"/>
                <w:szCs w:val="20"/>
              </w:rPr>
              <w:t>hours</w:t>
            </w:r>
            <w:r>
              <w:rPr>
                <w:b/>
                <w:color w:val="5F497A"/>
                <w:sz w:val="20"/>
                <w:szCs w:val="20"/>
              </w:rPr>
              <w:t>)</w:t>
            </w:r>
          </w:p>
        </w:tc>
        <w:tc>
          <w:tcPr>
            <w:tcW w:w="1140" w:type="dxa"/>
            <w:shd w:val="clear" w:color="auto" w:fill="auto"/>
            <w:tcMar>
              <w:top w:w="57" w:type="dxa"/>
            </w:tcMar>
            <w:vAlign w:val="center"/>
          </w:tcPr>
          <w:p w14:paraId="10A3DA38" w14:textId="37E5FDAE" w:rsidR="005C4083" w:rsidRDefault="001F23A5">
            <w:pPr>
              <w:pBdr>
                <w:top w:val="nil"/>
                <w:left w:val="nil"/>
                <w:bottom w:val="nil"/>
                <w:right w:val="nil"/>
                <w:between w:val="nil"/>
              </w:pBdr>
              <w:spacing w:after="80"/>
              <w:jc w:val="right"/>
              <w:rPr>
                <w:color w:val="000000"/>
                <w:sz w:val="20"/>
                <w:szCs w:val="20"/>
              </w:rPr>
            </w:pPr>
            <w:r>
              <w:rPr>
                <w:color w:val="000000"/>
                <w:sz w:val="20"/>
                <w:szCs w:val="20"/>
              </w:rPr>
              <w:t>£8</w:t>
            </w:r>
            <w:r w:rsidR="0014627A">
              <w:rPr>
                <w:color w:val="000000"/>
                <w:sz w:val="20"/>
                <w:szCs w:val="20"/>
              </w:rPr>
              <w:t>25</w:t>
            </w:r>
            <w:r>
              <w:rPr>
                <w:color w:val="000000"/>
                <w:sz w:val="20"/>
                <w:szCs w:val="20"/>
              </w:rPr>
              <w:t xml:space="preserve">.00 </w:t>
            </w:r>
          </w:p>
        </w:tc>
      </w:tr>
    </w:tbl>
    <w:p w14:paraId="414255B0" w14:textId="77777777" w:rsidR="005C4083" w:rsidRDefault="005C4083">
      <w:pPr>
        <w:pBdr>
          <w:top w:val="nil"/>
          <w:left w:val="nil"/>
          <w:bottom w:val="single" w:sz="36" w:space="1" w:color="00B0F0"/>
          <w:right w:val="nil"/>
          <w:between w:val="nil"/>
        </w:pBdr>
        <w:ind w:left="2268" w:right="2694"/>
        <w:rPr>
          <w:color w:val="000000"/>
        </w:rPr>
      </w:pPr>
    </w:p>
    <w:sectPr w:rsidR="005C4083">
      <w:headerReference w:type="default" r:id="rId7"/>
      <w:footerReference w:type="default" r:id="rId8"/>
      <w:headerReference w:type="first" r:id="rId9"/>
      <w:footerReference w:type="first" r:id="rId10"/>
      <w:pgSz w:w="11906" w:h="16838"/>
      <w:pgMar w:top="1701" w:right="1274" w:bottom="1418" w:left="1134" w:header="426" w:footer="7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555B82" w14:textId="77777777" w:rsidR="001B5C63" w:rsidRDefault="001B5C63">
      <w:pPr>
        <w:spacing w:after="0" w:line="240" w:lineRule="auto"/>
      </w:pPr>
      <w:r>
        <w:separator/>
      </w:r>
    </w:p>
  </w:endnote>
  <w:endnote w:type="continuationSeparator" w:id="0">
    <w:p w14:paraId="08153587" w14:textId="77777777" w:rsidR="001B5C63" w:rsidRDefault="001B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86256" w14:textId="77777777" w:rsidR="005C4083" w:rsidRDefault="001F23A5">
    <w:pPr>
      <w:pBdr>
        <w:top w:val="nil"/>
        <w:left w:val="nil"/>
        <w:bottom w:val="nil"/>
        <w:right w:val="nil"/>
        <w:between w:val="nil"/>
      </w:pBdr>
      <w:tabs>
        <w:tab w:val="center" w:pos="4513"/>
        <w:tab w:val="right" w:pos="9026"/>
      </w:tabs>
      <w:spacing w:after="0" w:line="240" w:lineRule="auto"/>
      <w:rPr>
        <w:color w:val="00B0F0"/>
        <w:sz w:val="20"/>
        <w:szCs w:val="20"/>
      </w:rPr>
    </w:pPr>
    <w:r>
      <w:rPr>
        <w:color w:val="00B0F0"/>
        <w:sz w:val="20"/>
        <w:szCs w:val="20"/>
      </w:rPr>
      <w:tab/>
      <w:t>ACTDEC Info Sheet Template</w:t>
    </w:r>
    <w:r>
      <w:rPr>
        <w:color w:val="00B0F0"/>
        <w:sz w:val="20"/>
        <w:szCs w:val="20"/>
      </w:rPr>
      <w:tab/>
      <w:t xml:space="preserve">Page </w:t>
    </w:r>
    <w:r>
      <w:rPr>
        <w:color w:val="00B0F0"/>
        <w:sz w:val="20"/>
        <w:szCs w:val="20"/>
      </w:rPr>
      <w:fldChar w:fldCharType="begin"/>
    </w:r>
    <w:r>
      <w:rPr>
        <w:color w:val="00B0F0"/>
        <w:sz w:val="20"/>
        <w:szCs w:val="20"/>
      </w:rPr>
      <w:instrText>PAGE</w:instrText>
    </w:r>
    <w:r>
      <w:rPr>
        <w:color w:val="00B0F0"/>
        <w:sz w:val="20"/>
        <w:szCs w:val="20"/>
      </w:rPr>
      <w:fldChar w:fldCharType="separate"/>
    </w:r>
    <w:r w:rsidR="00BF26CA">
      <w:rPr>
        <w:noProof/>
        <w:color w:val="00B0F0"/>
        <w:sz w:val="20"/>
        <w:szCs w:val="20"/>
      </w:rPr>
      <w:t>2</w:t>
    </w:r>
    <w:r>
      <w:rPr>
        <w:color w:val="00B0F0"/>
        <w:sz w:val="20"/>
        <w:szCs w:val="20"/>
      </w:rPr>
      <w:fldChar w:fldCharType="end"/>
    </w:r>
    <w:r>
      <w:rPr>
        <w:color w:val="00B0F0"/>
        <w:sz w:val="20"/>
        <w:szCs w:val="20"/>
      </w:rPr>
      <w:t xml:space="preserve"> of </w:t>
    </w:r>
    <w:r>
      <w:rPr>
        <w:color w:val="00B0F0"/>
        <w:sz w:val="20"/>
        <w:szCs w:val="20"/>
      </w:rPr>
      <w:fldChar w:fldCharType="begin"/>
    </w:r>
    <w:r>
      <w:rPr>
        <w:color w:val="00B0F0"/>
        <w:sz w:val="20"/>
        <w:szCs w:val="20"/>
      </w:rPr>
      <w:instrText>NUMPAGES</w:instrText>
    </w:r>
    <w:r>
      <w:rPr>
        <w:color w:val="00B0F0"/>
        <w:sz w:val="20"/>
        <w:szCs w:val="20"/>
      </w:rPr>
      <w:fldChar w:fldCharType="separate"/>
    </w:r>
    <w:r w:rsidR="00BF26CA">
      <w:rPr>
        <w:noProof/>
        <w:color w:val="00B0F0"/>
        <w:sz w:val="20"/>
        <w:szCs w:val="20"/>
      </w:rPr>
      <w:t>2</w:t>
    </w:r>
    <w:r>
      <w:rPr>
        <w:color w:val="00B0F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89BC9" w14:textId="77777777" w:rsidR="005C4083" w:rsidRDefault="001F23A5">
    <w:pPr>
      <w:pBdr>
        <w:top w:val="single" w:sz="12" w:space="6" w:color="00B0F0"/>
        <w:left w:val="nil"/>
        <w:bottom w:val="nil"/>
        <w:right w:val="nil"/>
        <w:between w:val="nil"/>
      </w:pBdr>
      <w:spacing w:before="240" w:after="0" w:line="220" w:lineRule="auto"/>
      <w:jc w:val="center"/>
      <w:rPr>
        <w:smallCaps/>
        <w:color w:val="00B0F0"/>
        <w:sz w:val="20"/>
        <w:szCs w:val="20"/>
      </w:rPr>
    </w:pPr>
    <w:r>
      <w:rPr>
        <w:smallCaps/>
        <w:color w:val="00B0F0"/>
        <w:sz w:val="24"/>
        <w:szCs w:val="24"/>
      </w:rPr>
      <w:t>Promoting Excellence in TESOL Distance Education Courses Since 1993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A90B0" w14:textId="77777777" w:rsidR="001B5C63" w:rsidRDefault="001B5C63">
      <w:pPr>
        <w:spacing w:after="0" w:line="240" w:lineRule="auto"/>
      </w:pPr>
      <w:r>
        <w:separator/>
      </w:r>
    </w:p>
  </w:footnote>
  <w:footnote w:type="continuationSeparator" w:id="0">
    <w:p w14:paraId="4843AD4E" w14:textId="77777777" w:rsidR="001B5C63" w:rsidRDefault="001B5C63">
      <w:pPr>
        <w:spacing w:after="0" w:line="240" w:lineRule="auto"/>
      </w:pPr>
      <w:r>
        <w:continuationSeparator/>
      </w:r>
    </w:p>
  </w:footnote>
  <w:footnote w:id="1">
    <w:p w14:paraId="3C262CD8" w14:textId="77777777" w:rsidR="005C4083" w:rsidRDefault="001F23A5">
      <w:pPr>
        <w:pBdr>
          <w:top w:val="nil"/>
          <w:left w:val="nil"/>
          <w:bottom w:val="nil"/>
          <w:right w:val="nil"/>
          <w:between w:val="nil"/>
        </w:pBdr>
        <w:spacing w:after="0" w:line="240" w:lineRule="auto"/>
        <w:rPr>
          <w:color w:val="7030A0"/>
          <w:sz w:val="18"/>
          <w:szCs w:val="18"/>
        </w:rPr>
      </w:pPr>
      <w:r>
        <w:rPr>
          <w:vertAlign w:val="superscript"/>
        </w:rPr>
        <w:footnoteRef/>
      </w:r>
      <w:r>
        <w:rPr>
          <w:color w:val="7030A0"/>
          <w:sz w:val="18"/>
          <w:szCs w:val="18"/>
        </w:rPr>
        <w:t xml:space="preserve"> Full ACTDEC members receive a discount for any subsequent courses they may wish to accredit with ACTDEC. This is based on the idea that having once gone through the accreditation process, members will be more familiar with what ACTDEC is looking for, thus requiring less input from the </w:t>
      </w:r>
      <w:r w:rsidR="00BF26CA">
        <w:rPr>
          <w:color w:val="7030A0"/>
          <w:sz w:val="18"/>
          <w:szCs w:val="18"/>
        </w:rPr>
        <w:t>A&amp;A</w:t>
      </w:r>
      <w:r>
        <w:rPr>
          <w:color w:val="7030A0"/>
          <w:sz w:val="18"/>
          <w:szCs w:val="18"/>
        </w:rPr>
        <w:t xml:space="preserve"> Panel.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17F1D" w14:textId="77777777" w:rsidR="005C4083" w:rsidRDefault="001F23A5">
    <w:pPr>
      <w:pBdr>
        <w:top w:val="nil"/>
        <w:left w:val="nil"/>
        <w:bottom w:val="single" w:sz="12" w:space="1" w:color="5F497A"/>
        <w:right w:val="nil"/>
        <w:between w:val="nil"/>
      </w:pBdr>
      <w:tabs>
        <w:tab w:val="center" w:pos="4513"/>
        <w:tab w:val="right" w:pos="9026"/>
      </w:tabs>
      <w:spacing w:after="0" w:line="240" w:lineRule="auto"/>
      <w:jc w:val="right"/>
      <w:rPr>
        <w:color w:val="000000"/>
      </w:rPr>
    </w:pPr>
    <w:r>
      <w:rPr>
        <w:rFonts w:ascii="Times New Roman" w:eastAsia="Times New Roman" w:hAnsi="Times New Roman" w:cs="Times New Roman"/>
        <w:b/>
        <w:noProof/>
        <w:color w:val="000000"/>
        <w:sz w:val="16"/>
        <w:szCs w:val="16"/>
      </w:rPr>
      <w:drawing>
        <wp:inline distT="0" distB="0" distL="0" distR="0" wp14:anchorId="471DBAB4" wp14:editId="5A906DD8">
          <wp:extent cx="1819529" cy="52394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529" cy="52394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BF6C5" w14:textId="77777777" w:rsidR="005C4083" w:rsidRDefault="001F23A5">
    <w:pPr>
      <w:pBdr>
        <w:top w:val="nil"/>
        <w:left w:val="nil"/>
        <w:bottom w:val="nil"/>
        <w:right w:val="nil"/>
        <w:between w:val="nil"/>
      </w:pBdr>
      <w:tabs>
        <w:tab w:val="center" w:pos="4513"/>
        <w:tab w:val="right" w:pos="9026"/>
      </w:tabs>
      <w:spacing w:after="0" w:line="240" w:lineRule="auto"/>
      <w:jc w:val="right"/>
      <w:rPr>
        <w:color w:val="000000"/>
      </w:rPr>
    </w:pPr>
    <w:r>
      <w:rPr>
        <w:rFonts w:ascii="Times New Roman" w:eastAsia="Times New Roman" w:hAnsi="Times New Roman" w:cs="Times New Roman"/>
        <w:b/>
        <w:noProof/>
        <w:color w:val="000000"/>
        <w:sz w:val="16"/>
        <w:szCs w:val="16"/>
      </w:rPr>
      <w:drawing>
        <wp:inline distT="0" distB="0" distL="0" distR="0" wp14:anchorId="71D2EB3B" wp14:editId="439728A0">
          <wp:extent cx="1819529" cy="52394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529" cy="523948"/>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8FE5513" wp14:editId="7012704C">
              <wp:simplePos x="0" y="0"/>
              <wp:positionH relativeFrom="column">
                <wp:posOffset>1333500</wp:posOffset>
              </wp:positionH>
              <wp:positionV relativeFrom="paragraph">
                <wp:posOffset>12700</wp:posOffset>
              </wp:positionV>
              <wp:extent cx="2709545" cy="527050"/>
              <wp:effectExtent l="0" t="0" r="0" b="0"/>
              <wp:wrapNone/>
              <wp:docPr id="6" name="6 Rectángulo"/>
              <wp:cNvGraphicFramePr/>
              <a:graphic xmlns:a="http://schemas.openxmlformats.org/drawingml/2006/main">
                <a:graphicData uri="http://schemas.microsoft.com/office/word/2010/wordprocessingShape">
                  <wps:wsp>
                    <wps:cNvSpPr/>
                    <wps:spPr>
                      <a:xfrm>
                        <a:off x="3995990" y="3521238"/>
                        <a:ext cx="2700020" cy="51752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6EC8DB2B" w14:textId="77777777" w:rsidR="005C4083" w:rsidRDefault="001F23A5">
                          <w:pPr>
                            <w:spacing w:after="0" w:line="219" w:lineRule="auto"/>
                            <w:jc w:val="right"/>
                            <w:textDirection w:val="btLr"/>
                          </w:pPr>
                          <w:r>
                            <w:rPr>
                              <w:b/>
                              <w:smallCaps/>
                              <w:color w:val="00B0F0"/>
                              <w:sz w:val="26"/>
                            </w:rPr>
                            <w:t>Accreditation Council for TESOL</w:t>
                          </w:r>
                        </w:p>
                        <w:p w14:paraId="2A8CF55C" w14:textId="77777777" w:rsidR="005C4083" w:rsidRDefault="001F23A5">
                          <w:pPr>
                            <w:spacing w:after="0" w:line="219" w:lineRule="auto"/>
                            <w:jc w:val="right"/>
                            <w:textDirection w:val="btLr"/>
                          </w:pPr>
                          <w:r>
                            <w:rPr>
                              <w:b/>
                              <w:smallCaps/>
                              <w:color w:val="00B0F0"/>
                              <w:sz w:val="26"/>
                            </w:rPr>
                            <w:t>Distance Education Courses</w:t>
                          </w:r>
                        </w:p>
                      </w:txbxContent>
                    </wps:txbx>
                    <wps:bodyPr spcFirstLastPara="1" wrap="square" lIns="0" tIns="0" rIns="0" bIns="0" anchor="ctr" anchorCtr="0">
                      <a:noAutofit/>
                    </wps:bodyPr>
                  </wps:wsp>
                </a:graphicData>
              </a:graphic>
            </wp:anchor>
          </w:drawing>
        </mc:Choice>
        <mc:Fallback>
          <w:pict>
            <v:rect w14:anchorId="18FE5513" id="6 Rectángulo" o:spid="_x0000_s1026" style="position:absolute;left:0;text-align:left;margin-left:105pt;margin-top:1pt;width:213.35pt;height:4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" strokecolor="white [3201]">
              <v:stroke startarrowwidth="narrow" startarrowlength="short" endarrowwidth="narrow" endarrowlength="short"/>
              <v:textbox inset="0,0,0,0">
                <w:txbxContent>
                  <w:p w14:paraId="6EC8DB2B" w14:textId="77777777" w:rsidR="005C4083" w:rsidRDefault="001F23A5">
                    <w:pPr>
                      <w:spacing w:after="0" w:line="219" w:lineRule="auto"/>
                      <w:jc w:val="right"/>
                      <w:textDirection w:val="btLr"/>
                    </w:pPr>
                    <w:r>
                      <w:rPr>
                        <w:b/>
                        <w:smallCaps/>
                        <w:color w:val="00B0F0"/>
                        <w:sz w:val="26"/>
                      </w:rPr>
                      <w:t>Accreditation Council for TESOL</w:t>
                    </w:r>
                  </w:p>
                  <w:p w14:paraId="2A8CF55C" w14:textId="77777777" w:rsidR="005C4083" w:rsidRDefault="001F23A5">
                    <w:pPr>
                      <w:spacing w:after="0" w:line="219" w:lineRule="auto"/>
                      <w:jc w:val="right"/>
                      <w:textDirection w:val="btLr"/>
                    </w:pPr>
                    <w:r>
                      <w:rPr>
                        <w:b/>
                        <w:smallCaps/>
                        <w:color w:val="00B0F0"/>
                        <w:sz w:val="26"/>
                      </w:rPr>
                      <w:t>Distance Education Courses</w:t>
                    </w:r>
                  </w:p>
                </w:txbxContent>
              </v:textbox>
            </v:rect>
          </w:pict>
        </mc:Fallback>
      </mc:AlternateContent>
    </w:r>
  </w:p>
  <w:p w14:paraId="25B6C832" w14:textId="77777777" w:rsidR="005C4083" w:rsidRDefault="005C4083">
    <w:pPr>
      <w:pBdr>
        <w:bottom w:val="single" w:sz="12" w:space="1" w:color="00B0F0"/>
      </w:pBdr>
      <w:spacing w:after="0" w:line="240" w:lineRule="auto"/>
      <w:jc w:val="right"/>
      <w:rPr>
        <w:rFonts w:ascii="Times New Roman" w:eastAsia="Times New Roman" w:hAnsi="Times New Roman" w:cs="Times New Roman"/>
        <w:b/>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83"/>
    <w:rsid w:val="0014627A"/>
    <w:rsid w:val="001B5C63"/>
    <w:rsid w:val="001F23A5"/>
    <w:rsid w:val="003708D1"/>
    <w:rsid w:val="003A231D"/>
    <w:rsid w:val="004D1A81"/>
    <w:rsid w:val="005B3CB2"/>
    <w:rsid w:val="005C4083"/>
    <w:rsid w:val="00966D8C"/>
    <w:rsid w:val="00BC3116"/>
    <w:rsid w:val="00BF26CA"/>
    <w:rsid w:val="00E85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88A6"/>
  <w15:docId w15:val="{75914209-2D7D-4B41-A7B9-00509BA3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116"/>
  </w:style>
  <w:style w:type="paragraph" w:styleId="Heading1">
    <w:name w:val="heading 1"/>
    <w:basedOn w:val="Normal"/>
    <w:next w:val="Normal"/>
    <w:link w:val="Heading1Char"/>
    <w:uiPriority w:val="9"/>
    <w:qFormat/>
    <w:rsid w:val="00BC3116"/>
    <w:pPr>
      <w:keepNext/>
      <w:keepLines/>
      <w:spacing w:after="160"/>
      <w:jc w:val="center"/>
      <w:outlineLvl w:val="0"/>
    </w:pPr>
    <w:rPr>
      <w:rFonts w:eastAsiaTheme="majorEastAsia" w:cstheme="majorBidi"/>
      <w:b/>
      <w:bCs/>
      <w:color w:val="5F497A" w:themeColor="accent4" w:themeShade="BF"/>
      <w:sz w:val="36"/>
      <w:szCs w:val="28"/>
    </w:rPr>
  </w:style>
  <w:style w:type="paragraph" w:styleId="Heading2">
    <w:name w:val="heading 2"/>
    <w:basedOn w:val="Normal"/>
    <w:next w:val="Normal"/>
    <w:link w:val="Heading2Char"/>
    <w:uiPriority w:val="9"/>
    <w:unhideWhenUsed/>
    <w:qFormat/>
    <w:rsid w:val="00BC3116"/>
    <w:pPr>
      <w:keepNext/>
      <w:keepLines/>
      <w:spacing w:before="240" w:after="0"/>
      <w:outlineLvl w:val="1"/>
    </w:pPr>
    <w:rPr>
      <w:rFonts w:eastAsiaTheme="majorEastAsia" w:cstheme="majorBidi"/>
      <w:b/>
      <w:bCs/>
      <w:color w:val="00B0F0"/>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uiPriority w:val="9"/>
    <w:unhideWhenUsed/>
    <w:qFormat/>
    <w:rsid w:val="00BC311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unhideWhenUsed/>
    <w:qFormat/>
    <w:rsid w:val="00BC31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unhideWhenUsed/>
    <w:qFormat/>
    <w:rsid w:val="00BC31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rsid w:val="001C36A4"/>
    <w:pPr>
      <w:ind w:left="720"/>
      <w:contextualSpacing/>
    </w:pPr>
  </w:style>
  <w:style w:type="paragraph" w:styleId="BalloonText">
    <w:name w:val="Balloon Text"/>
    <w:basedOn w:val="Normal"/>
    <w:link w:val="BalloonTextChar"/>
    <w:uiPriority w:val="99"/>
    <w:semiHidden/>
    <w:unhideWhenUsed/>
    <w:rsid w:val="0072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C80"/>
    <w:rPr>
      <w:rFonts w:ascii="Tahoma" w:hAnsi="Tahoma" w:cs="Tahoma"/>
      <w:sz w:val="16"/>
      <w:szCs w:val="16"/>
    </w:rPr>
  </w:style>
  <w:style w:type="paragraph" w:styleId="Header">
    <w:name w:val="header"/>
    <w:basedOn w:val="Normal"/>
    <w:link w:val="HeaderChar"/>
    <w:uiPriority w:val="99"/>
    <w:unhideWhenUsed/>
    <w:rsid w:val="00722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91"/>
  </w:style>
  <w:style w:type="paragraph" w:styleId="Footer">
    <w:name w:val="footer"/>
    <w:basedOn w:val="Normal"/>
    <w:link w:val="FooterChar"/>
    <w:uiPriority w:val="99"/>
    <w:unhideWhenUsed/>
    <w:rsid w:val="00722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91"/>
  </w:style>
  <w:style w:type="paragraph" w:styleId="NoSpacing">
    <w:name w:val="No Spacing"/>
    <w:uiPriority w:val="1"/>
    <w:rsid w:val="00E81245"/>
    <w:pPr>
      <w:spacing w:after="0" w:line="240" w:lineRule="auto"/>
    </w:pPr>
  </w:style>
  <w:style w:type="character" w:styleId="Hyperlink">
    <w:name w:val="Hyperlink"/>
    <w:basedOn w:val="DefaultParagraphFont"/>
    <w:uiPriority w:val="99"/>
    <w:unhideWhenUsed/>
    <w:rsid w:val="007644FC"/>
    <w:rPr>
      <w:color w:val="0000FF" w:themeColor="hyperlink"/>
      <w:u w:val="single"/>
    </w:rPr>
  </w:style>
  <w:style w:type="character" w:customStyle="1" w:styleId="Heading1Char">
    <w:name w:val="Heading 1 Char"/>
    <w:basedOn w:val="DefaultParagraphFont"/>
    <w:link w:val="Heading1"/>
    <w:uiPriority w:val="9"/>
    <w:rsid w:val="00BC3116"/>
    <w:rPr>
      <w:rFonts w:eastAsiaTheme="majorEastAsia" w:cstheme="majorBidi"/>
      <w:b/>
      <w:bCs/>
      <w:color w:val="5F497A" w:themeColor="accent4" w:themeShade="BF"/>
      <w:sz w:val="36"/>
      <w:szCs w:val="28"/>
    </w:rPr>
  </w:style>
  <w:style w:type="character" w:customStyle="1" w:styleId="Heading2Char">
    <w:name w:val="Heading 2 Char"/>
    <w:basedOn w:val="DefaultParagraphFont"/>
    <w:link w:val="Heading2"/>
    <w:uiPriority w:val="9"/>
    <w:rsid w:val="00BC3116"/>
    <w:rPr>
      <w:rFonts w:eastAsiaTheme="majorEastAsia" w:cstheme="majorBidi"/>
      <w:b/>
      <w:bCs/>
      <w:color w:val="00B0F0"/>
      <w:sz w:val="26"/>
      <w:szCs w:val="26"/>
    </w:rPr>
  </w:style>
  <w:style w:type="paragraph" w:customStyle="1" w:styleId="Bullet1">
    <w:name w:val="Bullet 1"/>
    <w:basedOn w:val="Normal"/>
    <w:link w:val="Bullet1Car"/>
    <w:qFormat/>
    <w:rsid w:val="00BC3116"/>
    <w:pPr>
      <w:spacing w:after="80"/>
      <w:ind w:left="709" w:hanging="283"/>
      <w:jc w:val="both"/>
    </w:pPr>
  </w:style>
  <w:style w:type="character" w:customStyle="1" w:styleId="Bullet1Car">
    <w:name w:val="Bullet 1 Car"/>
    <w:basedOn w:val="DefaultParagraphFont"/>
    <w:link w:val="Bullet1"/>
    <w:rsid w:val="00BC3116"/>
  </w:style>
  <w:style w:type="paragraph" w:customStyle="1" w:styleId="Numberblue">
    <w:name w:val="Number blue"/>
    <w:basedOn w:val="Normal"/>
    <w:link w:val="NumberblueCar"/>
    <w:qFormat/>
    <w:rsid w:val="00BC3116"/>
    <w:pPr>
      <w:spacing w:after="120"/>
      <w:ind w:left="360" w:hanging="360"/>
      <w:jc w:val="both"/>
    </w:pPr>
  </w:style>
  <w:style w:type="character" w:customStyle="1" w:styleId="NumberblueCar">
    <w:name w:val="Number blue Car"/>
    <w:basedOn w:val="DefaultParagraphFont"/>
    <w:link w:val="Numberblue"/>
    <w:rsid w:val="00BC3116"/>
  </w:style>
  <w:style w:type="paragraph" w:customStyle="1" w:styleId="Bullettick">
    <w:name w:val="Bullet tick"/>
    <w:basedOn w:val="Normal"/>
    <w:link w:val="BullettickCar"/>
    <w:qFormat/>
    <w:rsid w:val="00BC3116"/>
    <w:pPr>
      <w:pBdr>
        <w:top w:val="nil"/>
        <w:left w:val="nil"/>
        <w:bottom w:val="nil"/>
        <w:right w:val="nil"/>
        <w:between w:val="nil"/>
      </w:pBdr>
      <w:spacing w:after="120"/>
      <w:ind w:left="426" w:hanging="360"/>
      <w:jc w:val="both"/>
    </w:pPr>
    <w:rPr>
      <w:color w:val="000000"/>
    </w:rPr>
  </w:style>
  <w:style w:type="character" w:customStyle="1" w:styleId="BullettickCar">
    <w:name w:val="Bullet tick Car"/>
    <w:basedOn w:val="DefaultParagraphFont"/>
    <w:link w:val="Bullettick"/>
    <w:rsid w:val="00BC3116"/>
    <w:rPr>
      <w:color w:val="000000"/>
    </w:rPr>
  </w:style>
  <w:style w:type="character" w:customStyle="1" w:styleId="Cross-reference">
    <w:name w:val="Cross-reference"/>
    <w:basedOn w:val="DefaultParagraphFont"/>
    <w:uiPriority w:val="1"/>
    <w:qFormat/>
    <w:rsid w:val="00BC3116"/>
    <w:rPr>
      <w:color w:val="5F497A" w:themeColor="accent4" w:themeShade="BF"/>
      <w:sz w:val="20"/>
    </w:rPr>
  </w:style>
  <w:style w:type="paragraph" w:customStyle="1" w:styleId="Endbar">
    <w:name w:val="End bar"/>
    <w:basedOn w:val="Normal"/>
    <w:link w:val="EndbarCar"/>
    <w:qFormat/>
    <w:rsid w:val="00BC3116"/>
    <w:pPr>
      <w:pBdr>
        <w:bottom w:val="single" w:sz="36" w:space="1" w:color="00B0F0"/>
      </w:pBdr>
      <w:ind w:left="2268" w:right="2694"/>
    </w:pPr>
  </w:style>
  <w:style w:type="character" w:customStyle="1" w:styleId="EndbarCar">
    <w:name w:val="End bar Car"/>
    <w:basedOn w:val="DefaultParagraphFont"/>
    <w:link w:val="Endbar"/>
    <w:rsid w:val="00BC3116"/>
  </w:style>
  <w:style w:type="paragraph" w:customStyle="1" w:styleId="Headertext">
    <w:name w:val="Header text"/>
    <w:link w:val="HeadertextCar"/>
    <w:rsid w:val="001947F7"/>
    <w:pPr>
      <w:autoSpaceDE w:val="0"/>
      <w:autoSpaceDN w:val="0"/>
      <w:adjustRightInd w:val="0"/>
      <w:spacing w:after="0" w:line="220" w:lineRule="exact"/>
      <w:jc w:val="right"/>
    </w:pPr>
    <w:rPr>
      <w:rFonts w:eastAsiaTheme="minorHAnsi" w:cstheme="minorHAnsi"/>
      <w:b/>
      <w:smallCaps/>
      <w:color w:val="00B0F0"/>
      <w:sz w:val="24"/>
      <w:szCs w:val="20"/>
      <w:lang w:eastAsia="en-US"/>
    </w:rPr>
  </w:style>
  <w:style w:type="character" w:customStyle="1" w:styleId="HeadertextCar">
    <w:name w:val="Header text Car"/>
    <w:basedOn w:val="DefaultParagraphFont"/>
    <w:link w:val="Headertext"/>
    <w:rsid w:val="001947F7"/>
    <w:rPr>
      <w:rFonts w:eastAsiaTheme="minorHAnsi" w:cstheme="minorHAnsi"/>
      <w:b/>
      <w:smallCaps/>
      <w:color w:val="00B0F0"/>
      <w:sz w:val="24"/>
      <w:szCs w:val="20"/>
      <w:lang w:eastAsia="en-US"/>
    </w:rPr>
  </w:style>
  <w:style w:type="paragraph" w:styleId="NormalWeb">
    <w:name w:val="Normal (Web)"/>
    <w:basedOn w:val="Normal"/>
    <w:uiPriority w:val="99"/>
    <w:unhideWhenUsed/>
    <w:rsid w:val="00526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
    <w:name w:val="Table text"/>
    <w:basedOn w:val="Normal"/>
    <w:link w:val="TabletextCar"/>
    <w:rsid w:val="00C67A61"/>
    <w:pPr>
      <w:spacing w:after="80"/>
      <w:jc w:val="both"/>
    </w:pPr>
    <w:rPr>
      <w:rFonts w:eastAsia="Times New Roman"/>
      <w:sz w:val="20"/>
    </w:rPr>
  </w:style>
  <w:style w:type="paragraph" w:styleId="FootnoteText">
    <w:name w:val="footnote text"/>
    <w:basedOn w:val="Normal"/>
    <w:link w:val="FootnoteTextChar"/>
    <w:uiPriority w:val="99"/>
    <w:semiHidden/>
    <w:unhideWhenUsed/>
    <w:rsid w:val="0046370A"/>
    <w:pPr>
      <w:spacing w:after="0" w:line="240" w:lineRule="auto"/>
    </w:pPr>
    <w:rPr>
      <w:sz w:val="20"/>
      <w:szCs w:val="20"/>
    </w:rPr>
  </w:style>
  <w:style w:type="character" w:customStyle="1" w:styleId="TabletextCar">
    <w:name w:val="Table text Car"/>
    <w:basedOn w:val="DefaultParagraphFont"/>
    <w:link w:val="Tabletext"/>
    <w:rsid w:val="00C67A61"/>
    <w:rPr>
      <w:rFonts w:eastAsia="Times New Roman"/>
      <w:sz w:val="20"/>
    </w:rPr>
  </w:style>
  <w:style w:type="character" w:customStyle="1" w:styleId="FootnoteTextChar">
    <w:name w:val="Footnote Text Char"/>
    <w:basedOn w:val="DefaultParagraphFont"/>
    <w:link w:val="FootnoteText"/>
    <w:uiPriority w:val="99"/>
    <w:semiHidden/>
    <w:rsid w:val="0046370A"/>
    <w:rPr>
      <w:sz w:val="20"/>
      <w:szCs w:val="20"/>
    </w:rPr>
  </w:style>
  <w:style w:type="character" w:styleId="FootnoteReference">
    <w:name w:val="footnote reference"/>
    <w:basedOn w:val="DefaultParagraphFont"/>
    <w:uiPriority w:val="99"/>
    <w:semiHidden/>
    <w:unhideWhenUsed/>
    <w:rsid w:val="0046370A"/>
    <w:rPr>
      <w:vertAlign w:val="superscript"/>
    </w:rPr>
  </w:style>
  <w:style w:type="paragraph" w:customStyle="1" w:styleId="Footnote">
    <w:name w:val="Footnote"/>
    <w:basedOn w:val="FootnoteText"/>
    <w:link w:val="FootnoteCar"/>
    <w:rsid w:val="00C722F5"/>
    <w:rPr>
      <w:color w:val="7030A0"/>
      <w:sz w:val="18"/>
    </w:rPr>
  </w:style>
  <w:style w:type="character" w:customStyle="1" w:styleId="FootnoteCar">
    <w:name w:val="Footnote Car"/>
    <w:basedOn w:val="FootnoteTextChar"/>
    <w:link w:val="Footnote"/>
    <w:rsid w:val="00C722F5"/>
    <w:rPr>
      <w:color w:val="7030A0"/>
      <w:sz w:val="18"/>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0egbwktxqwshoVFTcTc46wTpMg==">AMUW2mXsMBUMAuzUE4CwLEF+e1KOpLacg4NWwezzSzo2sjSpLod73gZ+Lo0DRCpRNhcaVLsTA7PcStYUn6OM/dN1mTw+xWv/xfLsTZpoqy9YexTSygUdW/FS3DKpxbGYKWEljsEwJoih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Andrew Bowdler</cp:lastModifiedBy>
  <cp:revision>3</cp:revision>
  <dcterms:created xsi:type="dcterms:W3CDTF">2024-04-01T15:41:00Z</dcterms:created>
  <dcterms:modified xsi:type="dcterms:W3CDTF">2024-04-01T15:42:00Z</dcterms:modified>
</cp:coreProperties>
</file>